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67B1C" w14:textId="77777777" w:rsidR="006774F8" w:rsidRPr="0076781A" w:rsidRDefault="00350B6C" w:rsidP="00977AF7">
      <w:pPr>
        <w:spacing w:line="360" w:lineRule="auto"/>
        <w:ind w:left="-567" w:right="-567"/>
        <w:jc w:val="center"/>
        <w:rPr>
          <w:b/>
          <w:sz w:val="26"/>
          <w:szCs w:val="26"/>
          <w:lang w:val="en-CA"/>
        </w:rPr>
      </w:pPr>
      <w:r w:rsidRPr="0076781A">
        <w:rPr>
          <w:b/>
          <w:sz w:val="26"/>
          <w:szCs w:val="26"/>
          <w:lang w:val="en-CA"/>
        </w:rPr>
        <w:t>Charter of Good Practices – to guide the establishment of cooperations through FoodComEx</w:t>
      </w:r>
    </w:p>
    <w:p w14:paraId="61ED9C4A" w14:textId="77777777" w:rsidR="00350B6C" w:rsidRPr="0076781A" w:rsidRDefault="00350B6C" w:rsidP="00977AF7">
      <w:pPr>
        <w:spacing w:line="360" w:lineRule="auto"/>
        <w:ind w:left="-567" w:right="-567"/>
        <w:jc w:val="both"/>
        <w:rPr>
          <w:lang w:val="en-CA"/>
        </w:rPr>
      </w:pPr>
    </w:p>
    <w:p w14:paraId="7391A8C8" w14:textId="77777777" w:rsidR="00350B6C" w:rsidRPr="0076781A" w:rsidRDefault="00350B6C" w:rsidP="00977AF7">
      <w:pPr>
        <w:spacing w:line="360" w:lineRule="auto"/>
        <w:ind w:left="-567" w:right="-567"/>
        <w:jc w:val="both"/>
        <w:rPr>
          <w:lang w:val="en-CA"/>
        </w:rPr>
      </w:pPr>
      <w:r w:rsidRPr="0076781A">
        <w:rPr>
          <w:lang w:val="en-CA"/>
        </w:rPr>
        <w:t xml:space="preserve">This document contains recommendations to </w:t>
      </w:r>
      <w:r w:rsidR="00977AF7" w:rsidRPr="0076781A">
        <w:rPr>
          <w:lang w:val="en-CA"/>
        </w:rPr>
        <w:t>facilitate</w:t>
      </w:r>
      <w:r w:rsidR="005754BE" w:rsidRPr="0076781A">
        <w:rPr>
          <w:lang w:val="en-CA"/>
        </w:rPr>
        <w:t xml:space="preserve"> the establishment of</w:t>
      </w:r>
      <w:r w:rsidRPr="0076781A">
        <w:rPr>
          <w:lang w:val="en-CA"/>
        </w:rPr>
        <w:t xml:space="preserve"> partnerships via FoodComEx.</w:t>
      </w:r>
      <w:r w:rsidR="00DF17F4" w:rsidRPr="0076781A">
        <w:rPr>
          <w:lang w:val="en-CA"/>
        </w:rPr>
        <w:t xml:space="preserve"> These </w:t>
      </w:r>
      <w:r w:rsidR="005754BE" w:rsidRPr="0076781A">
        <w:rPr>
          <w:lang w:val="en-CA"/>
        </w:rPr>
        <w:t>cooperations</w:t>
      </w:r>
      <w:r w:rsidR="00DF17F4" w:rsidRPr="0076781A">
        <w:rPr>
          <w:lang w:val="en-CA"/>
        </w:rPr>
        <w:t xml:space="preserve"> are to be </w:t>
      </w:r>
      <w:r w:rsidR="002E639E" w:rsidRPr="0076781A">
        <w:rPr>
          <w:lang w:val="en-CA"/>
        </w:rPr>
        <w:t>held</w:t>
      </w:r>
      <w:r w:rsidR="00DF17F4" w:rsidRPr="0076781A">
        <w:rPr>
          <w:lang w:val="en-CA"/>
        </w:rPr>
        <w:t xml:space="preserve"> between groups </w:t>
      </w:r>
      <w:r w:rsidR="00977AF7" w:rsidRPr="0076781A">
        <w:rPr>
          <w:lang w:val="en-CA"/>
        </w:rPr>
        <w:t>that are willing to share</w:t>
      </w:r>
      <w:r w:rsidR="00DF17F4" w:rsidRPr="0076781A">
        <w:rPr>
          <w:lang w:val="en-CA"/>
        </w:rPr>
        <w:t xml:space="preserve"> </w:t>
      </w:r>
      <w:r w:rsidR="00977AF7" w:rsidRPr="0076781A">
        <w:rPr>
          <w:lang w:val="en-CA"/>
        </w:rPr>
        <w:t>compounds</w:t>
      </w:r>
      <w:r w:rsidR="00DF17F4" w:rsidRPr="0076781A">
        <w:rPr>
          <w:lang w:val="en-CA"/>
        </w:rPr>
        <w:t xml:space="preserve"> of interest</w:t>
      </w:r>
      <w:r w:rsidR="00977AF7" w:rsidRPr="0076781A">
        <w:rPr>
          <w:lang w:val="en-CA"/>
        </w:rPr>
        <w:t xml:space="preserve"> </w:t>
      </w:r>
      <w:r w:rsidR="00DF17F4" w:rsidRPr="0076781A">
        <w:rPr>
          <w:lang w:val="en-CA"/>
        </w:rPr>
        <w:t xml:space="preserve">for food metabolome research (here called </w:t>
      </w:r>
      <w:r w:rsidR="00DF17F4" w:rsidRPr="0076781A">
        <w:rPr>
          <w:b/>
          <w:lang w:val="en-CA"/>
        </w:rPr>
        <w:t>PROVIDERS</w:t>
      </w:r>
      <w:r w:rsidR="00DF17F4" w:rsidRPr="0076781A">
        <w:rPr>
          <w:lang w:val="en-CA"/>
        </w:rPr>
        <w:t>) and those interested on obtaining such compounds (</w:t>
      </w:r>
      <w:r w:rsidR="00977AF7" w:rsidRPr="0076781A">
        <w:rPr>
          <w:lang w:val="en-CA"/>
        </w:rPr>
        <w:t xml:space="preserve">herein called </w:t>
      </w:r>
      <w:r w:rsidR="00DF17F4" w:rsidRPr="0076781A">
        <w:rPr>
          <w:b/>
          <w:lang w:val="en-CA"/>
        </w:rPr>
        <w:t>RECIPIENTS</w:t>
      </w:r>
      <w:r w:rsidR="00DF17F4" w:rsidRPr="0076781A">
        <w:rPr>
          <w:lang w:val="en-CA"/>
        </w:rPr>
        <w:t xml:space="preserve">). </w:t>
      </w:r>
      <w:r w:rsidR="005754BE" w:rsidRPr="0076781A">
        <w:rPr>
          <w:lang w:val="en-CA"/>
        </w:rPr>
        <w:t xml:space="preserve">For the sake of nomenclature, we define </w:t>
      </w:r>
      <w:r w:rsidR="005754BE" w:rsidRPr="0076781A">
        <w:rPr>
          <w:b/>
          <w:lang w:val="en-CA"/>
        </w:rPr>
        <w:t>COMPOUNDS</w:t>
      </w:r>
      <w:r w:rsidR="005754BE" w:rsidRPr="0076781A">
        <w:rPr>
          <w:lang w:val="en-CA"/>
        </w:rPr>
        <w:t xml:space="preserve"> as purified (or semi-purified) </w:t>
      </w:r>
      <w:r w:rsidR="00977AF7" w:rsidRPr="0076781A">
        <w:rPr>
          <w:lang w:val="en-CA"/>
        </w:rPr>
        <w:t>molecules</w:t>
      </w:r>
      <w:r w:rsidR="005754BE" w:rsidRPr="0076781A">
        <w:rPr>
          <w:lang w:val="en-CA"/>
        </w:rPr>
        <w:t xml:space="preserve"> </w:t>
      </w:r>
      <w:r w:rsidR="00465FDC" w:rsidRPr="0076781A">
        <w:rPr>
          <w:lang w:val="en-CA"/>
        </w:rPr>
        <w:t xml:space="preserve">present in food items or derived from their metabolism, </w:t>
      </w:r>
      <w:r w:rsidR="005754BE" w:rsidRPr="0076781A">
        <w:rPr>
          <w:lang w:val="en-CA"/>
        </w:rPr>
        <w:t>obtained after synthesis or extraction from biological sam</w:t>
      </w:r>
      <w:r w:rsidR="004F2297" w:rsidRPr="0076781A">
        <w:rPr>
          <w:lang w:val="en-CA"/>
        </w:rPr>
        <w:t xml:space="preserve">ples. Extracts from food items </w:t>
      </w:r>
      <w:r w:rsidR="005754BE" w:rsidRPr="0076781A">
        <w:rPr>
          <w:lang w:val="en-CA"/>
        </w:rPr>
        <w:t>and</w:t>
      </w:r>
      <w:r w:rsidR="00DF17F4" w:rsidRPr="0076781A">
        <w:rPr>
          <w:lang w:val="en-CA"/>
        </w:rPr>
        <w:t xml:space="preserve"> biological samples</w:t>
      </w:r>
      <w:r w:rsidR="005754BE" w:rsidRPr="0076781A">
        <w:rPr>
          <w:lang w:val="en-CA"/>
        </w:rPr>
        <w:t xml:space="preserve"> (obtained </w:t>
      </w:r>
      <w:r w:rsidR="005754BE" w:rsidRPr="0076781A">
        <w:rPr>
          <w:i/>
          <w:lang w:val="en-CA"/>
        </w:rPr>
        <w:t>in vitro</w:t>
      </w:r>
      <w:r w:rsidR="005754BE" w:rsidRPr="0076781A">
        <w:rPr>
          <w:lang w:val="en-CA"/>
        </w:rPr>
        <w:t xml:space="preserve"> or </w:t>
      </w:r>
      <w:r w:rsidR="005754BE" w:rsidRPr="0076781A">
        <w:rPr>
          <w:i/>
          <w:lang w:val="en-CA"/>
        </w:rPr>
        <w:t>in vivo</w:t>
      </w:r>
      <w:r w:rsidR="005754BE" w:rsidRPr="0076781A">
        <w:rPr>
          <w:lang w:val="en-CA"/>
        </w:rPr>
        <w:t>)</w:t>
      </w:r>
      <w:r w:rsidR="0076781A">
        <w:rPr>
          <w:lang w:val="en-CA"/>
        </w:rPr>
        <w:t xml:space="preserve"> thought to contain </w:t>
      </w:r>
      <w:r w:rsidR="00DF17F4" w:rsidRPr="0076781A">
        <w:rPr>
          <w:lang w:val="en-CA"/>
        </w:rPr>
        <w:t>specific compounds or their metabolites</w:t>
      </w:r>
      <w:r w:rsidR="005754BE" w:rsidRPr="0076781A">
        <w:rPr>
          <w:lang w:val="en-CA"/>
        </w:rPr>
        <w:t xml:space="preserve"> are here called </w:t>
      </w:r>
      <w:r w:rsidR="005754BE" w:rsidRPr="0076781A">
        <w:rPr>
          <w:b/>
          <w:lang w:val="en-CA"/>
        </w:rPr>
        <w:t>REFERENCE MATERIALS</w:t>
      </w:r>
      <w:r w:rsidR="00DF17F4" w:rsidRPr="0076781A">
        <w:rPr>
          <w:lang w:val="en-CA"/>
        </w:rPr>
        <w:t>.</w:t>
      </w:r>
    </w:p>
    <w:p w14:paraId="3605020F" w14:textId="77777777" w:rsidR="00350B6C" w:rsidRPr="0076781A" w:rsidRDefault="00350B6C" w:rsidP="00977AF7">
      <w:pPr>
        <w:spacing w:line="360" w:lineRule="auto"/>
        <w:ind w:left="-567" w:right="-567"/>
        <w:jc w:val="both"/>
        <w:rPr>
          <w:lang w:val="en-CA"/>
        </w:rPr>
      </w:pPr>
      <w:r w:rsidRPr="0076781A">
        <w:rPr>
          <w:lang w:val="en-CA"/>
        </w:rPr>
        <w:t>FoodComEx is merely a platform to make the connections between scientist t</w:t>
      </w:r>
      <w:r w:rsidR="002E639E" w:rsidRPr="0076781A">
        <w:rPr>
          <w:lang w:val="en-CA"/>
        </w:rPr>
        <w:t>hat are interested on sharing/</w:t>
      </w:r>
      <w:r w:rsidRPr="0076781A">
        <w:rPr>
          <w:lang w:val="en-CA"/>
        </w:rPr>
        <w:t xml:space="preserve">obtaining </w:t>
      </w:r>
      <w:r w:rsidR="002E639E" w:rsidRPr="0076781A">
        <w:rPr>
          <w:lang w:val="en-CA"/>
        </w:rPr>
        <w:t>compounds</w:t>
      </w:r>
      <w:r w:rsidRPr="0076781A">
        <w:rPr>
          <w:lang w:val="en-CA"/>
        </w:rPr>
        <w:t xml:space="preserve"> and reference materials</w:t>
      </w:r>
      <w:r w:rsidR="008E2A72" w:rsidRPr="0076781A">
        <w:rPr>
          <w:lang w:val="en-CA"/>
        </w:rPr>
        <w:t xml:space="preserve"> </w:t>
      </w:r>
      <w:r w:rsidRPr="0076781A">
        <w:rPr>
          <w:lang w:val="en-CA"/>
        </w:rPr>
        <w:t>to be used in research. FoodComEx cannot be made responsible for the actions of the people involved in the agreements established via this platform</w:t>
      </w:r>
      <w:r w:rsidR="00977AF7" w:rsidRPr="0076781A">
        <w:rPr>
          <w:lang w:val="en-CA"/>
        </w:rPr>
        <w:t xml:space="preserve"> </w:t>
      </w:r>
      <w:r w:rsidR="004F2297" w:rsidRPr="0076781A">
        <w:rPr>
          <w:lang w:val="en-CA"/>
        </w:rPr>
        <w:t>if</w:t>
      </w:r>
      <w:r w:rsidR="00977AF7" w:rsidRPr="0076781A">
        <w:rPr>
          <w:lang w:val="en-CA"/>
        </w:rPr>
        <w:t xml:space="preserve"> these agreements are not satisfactory </w:t>
      </w:r>
      <w:r w:rsidR="0076781A" w:rsidRPr="0076781A">
        <w:rPr>
          <w:lang w:val="en-CA"/>
        </w:rPr>
        <w:t>fulfilled</w:t>
      </w:r>
      <w:r w:rsidRPr="0076781A">
        <w:rPr>
          <w:lang w:val="en-CA"/>
        </w:rPr>
        <w:t>.</w:t>
      </w:r>
    </w:p>
    <w:p w14:paraId="792CC799" w14:textId="77777777" w:rsidR="00350B6C" w:rsidRPr="0076781A" w:rsidRDefault="000850F0" w:rsidP="00977AF7">
      <w:pPr>
        <w:spacing w:line="360" w:lineRule="auto"/>
        <w:ind w:left="-567" w:right="-567"/>
        <w:jc w:val="both"/>
        <w:rPr>
          <w:lang w:val="en-CA"/>
        </w:rPr>
      </w:pPr>
      <w:r w:rsidRPr="0076781A">
        <w:rPr>
          <w:lang w:val="en-CA"/>
        </w:rPr>
        <w:t xml:space="preserve">Ethics </w:t>
      </w:r>
      <w:r w:rsidR="00977AF7" w:rsidRPr="0076781A">
        <w:rPr>
          <w:lang w:val="en-CA"/>
        </w:rPr>
        <w:t xml:space="preserve">and common sense </w:t>
      </w:r>
      <w:r w:rsidRPr="0076781A">
        <w:rPr>
          <w:lang w:val="en-CA"/>
        </w:rPr>
        <w:t>should be the</w:t>
      </w:r>
      <w:r w:rsidR="00350B6C" w:rsidRPr="0076781A">
        <w:rPr>
          <w:lang w:val="en-CA"/>
        </w:rPr>
        <w:t xml:space="preserve"> guiding principle</w:t>
      </w:r>
      <w:r w:rsidR="00977AF7" w:rsidRPr="0076781A">
        <w:rPr>
          <w:lang w:val="en-CA"/>
        </w:rPr>
        <w:t>s</w:t>
      </w:r>
      <w:r w:rsidR="00350B6C" w:rsidRPr="0076781A">
        <w:rPr>
          <w:lang w:val="en-CA"/>
        </w:rPr>
        <w:t xml:space="preserve"> of any partnership established via FoodComEx. In every cooperation established, b</w:t>
      </w:r>
      <w:r w:rsidR="002E639E" w:rsidRPr="0076781A">
        <w:rPr>
          <w:lang w:val="en-CA"/>
        </w:rPr>
        <w:t>oth parts are free to create its</w:t>
      </w:r>
      <w:r w:rsidRPr="0076781A">
        <w:rPr>
          <w:lang w:val="en-CA"/>
        </w:rPr>
        <w:t xml:space="preserve"> specific</w:t>
      </w:r>
      <w:r w:rsidR="00350B6C" w:rsidRPr="0076781A">
        <w:rPr>
          <w:lang w:val="en-CA"/>
        </w:rPr>
        <w:t xml:space="preserve"> terms and</w:t>
      </w:r>
      <w:r w:rsidRPr="0076781A">
        <w:rPr>
          <w:lang w:val="en-CA"/>
        </w:rPr>
        <w:t xml:space="preserve"> must</w:t>
      </w:r>
      <w:r w:rsidR="00350B6C" w:rsidRPr="0076781A">
        <w:rPr>
          <w:lang w:val="en-CA"/>
        </w:rPr>
        <w:t xml:space="preserve"> abide to them. These should always be in accordance to the laws of the countries involved and the practices in the respective in</w:t>
      </w:r>
      <w:r w:rsidR="00465FDC" w:rsidRPr="0076781A">
        <w:rPr>
          <w:lang w:val="en-CA"/>
        </w:rPr>
        <w:t>s</w:t>
      </w:r>
      <w:r w:rsidR="00350B6C" w:rsidRPr="0076781A">
        <w:rPr>
          <w:lang w:val="en-CA"/>
        </w:rPr>
        <w:t>titutions</w:t>
      </w:r>
      <w:r w:rsidR="004F2297" w:rsidRPr="0076781A">
        <w:rPr>
          <w:lang w:val="en-CA"/>
        </w:rPr>
        <w:t>/ research consortiums</w:t>
      </w:r>
      <w:r w:rsidR="00350B6C" w:rsidRPr="0076781A">
        <w:rPr>
          <w:lang w:val="en-CA"/>
        </w:rPr>
        <w:t>. To facilitate these negotiations, we created some ru</w:t>
      </w:r>
      <w:r w:rsidR="00977AF7" w:rsidRPr="0076781A">
        <w:rPr>
          <w:lang w:val="en-CA"/>
        </w:rPr>
        <w:t>les that must be observed at all</w:t>
      </w:r>
      <w:r w:rsidR="00350B6C" w:rsidRPr="0076781A">
        <w:rPr>
          <w:lang w:val="en-CA"/>
        </w:rPr>
        <w:t xml:space="preserve"> time</w:t>
      </w:r>
      <w:r w:rsidR="00977AF7" w:rsidRPr="0076781A">
        <w:rPr>
          <w:lang w:val="en-CA"/>
        </w:rPr>
        <w:t>s</w:t>
      </w:r>
      <w:r w:rsidR="00350B6C" w:rsidRPr="0076781A">
        <w:rPr>
          <w:lang w:val="en-CA"/>
        </w:rPr>
        <w:t>:</w:t>
      </w:r>
    </w:p>
    <w:p w14:paraId="45F223BB" w14:textId="77777777" w:rsidR="002E639E" w:rsidRPr="0076781A" w:rsidRDefault="002E639E" w:rsidP="00977AF7">
      <w:pPr>
        <w:spacing w:line="360" w:lineRule="auto"/>
        <w:ind w:left="-567" w:right="-567"/>
        <w:jc w:val="both"/>
        <w:rPr>
          <w:lang w:val="en-CA"/>
        </w:rPr>
      </w:pPr>
    </w:p>
    <w:p w14:paraId="75518D2E" w14:textId="77777777" w:rsidR="00D20641" w:rsidRPr="0076781A" w:rsidRDefault="00977AF7" w:rsidP="00977AF7">
      <w:pPr>
        <w:spacing w:line="360" w:lineRule="auto"/>
        <w:ind w:left="-567" w:right="-567"/>
        <w:jc w:val="both"/>
        <w:rPr>
          <w:b/>
          <w:lang w:val="en-CA"/>
        </w:rPr>
      </w:pPr>
      <w:r w:rsidRPr="0076781A">
        <w:rPr>
          <w:b/>
          <w:lang w:val="en-CA"/>
        </w:rPr>
        <w:t>1 – SHARING</w:t>
      </w:r>
      <w:r w:rsidR="00D20641" w:rsidRPr="0076781A">
        <w:rPr>
          <w:b/>
          <w:lang w:val="en-CA"/>
        </w:rPr>
        <w:t xml:space="preserve"> PURE COMPOUNDS AND REFERENCE MATERIALS WITHIN FOODCOMEX</w:t>
      </w:r>
    </w:p>
    <w:p w14:paraId="54A20C28" w14:textId="77777777" w:rsidR="00D20641" w:rsidRPr="0076781A" w:rsidRDefault="002E7F16" w:rsidP="00977AF7">
      <w:pPr>
        <w:spacing w:line="360" w:lineRule="auto"/>
        <w:ind w:left="-567" w:right="-567"/>
        <w:jc w:val="both"/>
        <w:rPr>
          <w:lang w:val="en-CA"/>
        </w:rPr>
      </w:pPr>
      <w:r w:rsidRPr="0076781A">
        <w:rPr>
          <w:lang w:val="en-CA"/>
        </w:rPr>
        <w:t>Scientists that produce or collect compounds or reference materials of interest for the food metabolome community are welcom</w:t>
      </w:r>
      <w:r w:rsidR="0076781A">
        <w:rPr>
          <w:lang w:val="en-CA"/>
        </w:rPr>
        <w:t>e to use this platform to share</w:t>
      </w:r>
      <w:r w:rsidRPr="0076781A">
        <w:rPr>
          <w:lang w:val="en-CA"/>
        </w:rPr>
        <w:t>:</w:t>
      </w:r>
    </w:p>
    <w:p w14:paraId="67B92A7A" w14:textId="77777777" w:rsidR="000850F0" w:rsidRPr="0076781A" w:rsidRDefault="002E7F16" w:rsidP="00977AF7">
      <w:pPr>
        <w:pStyle w:val="ListParagraph"/>
        <w:numPr>
          <w:ilvl w:val="0"/>
          <w:numId w:val="2"/>
        </w:numPr>
        <w:spacing w:line="360" w:lineRule="auto"/>
        <w:ind w:left="-284" w:right="-567" w:hanging="283"/>
        <w:jc w:val="both"/>
        <w:rPr>
          <w:lang w:val="en-CA"/>
        </w:rPr>
      </w:pPr>
      <w:r w:rsidRPr="0076781A">
        <w:rPr>
          <w:lang w:val="en-CA"/>
        </w:rPr>
        <w:t>Compounds synthesized chemically or enzymatically</w:t>
      </w:r>
    </w:p>
    <w:p w14:paraId="459F8341" w14:textId="77777777" w:rsidR="002E7F16" w:rsidRPr="0076781A" w:rsidRDefault="000850F0" w:rsidP="00977AF7">
      <w:pPr>
        <w:pStyle w:val="ListParagraph"/>
        <w:numPr>
          <w:ilvl w:val="0"/>
          <w:numId w:val="2"/>
        </w:numPr>
        <w:spacing w:line="360" w:lineRule="auto"/>
        <w:ind w:left="-284" w:right="-567" w:hanging="283"/>
        <w:jc w:val="both"/>
        <w:rPr>
          <w:lang w:val="en-CA"/>
        </w:rPr>
      </w:pPr>
      <w:r w:rsidRPr="0076781A">
        <w:rPr>
          <w:lang w:val="en-CA"/>
        </w:rPr>
        <w:t>C</w:t>
      </w:r>
      <w:r w:rsidR="002E7F16" w:rsidRPr="0076781A">
        <w:rPr>
          <w:lang w:val="en-CA"/>
        </w:rPr>
        <w:t>ompounds isolated from food items or biological samples. The compounds can be shared regardless of purity degree (t</w:t>
      </w:r>
      <w:r w:rsidRPr="0076781A">
        <w:rPr>
          <w:lang w:val="en-CA"/>
        </w:rPr>
        <w:t xml:space="preserve">hat </w:t>
      </w:r>
      <w:r w:rsidR="002E7F16" w:rsidRPr="0076781A">
        <w:rPr>
          <w:lang w:val="en-CA"/>
        </w:rPr>
        <w:t>must be stated)</w:t>
      </w:r>
      <w:r w:rsidRPr="0076781A">
        <w:rPr>
          <w:lang w:val="en-CA"/>
        </w:rPr>
        <w:t xml:space="preserve"> and </w:t>
      </w:r>
      <w:r w:rsidR="002E7F16" w:rsidRPr="0076781A">
        <w:rPr>
          <w:lang w:val="en-CA"/>
        </w:rPr>
        <w:t>can be presented pure or in stock solutions.</w:t>
      </w:r>
    </w:p>
    <w:p w14:paraId="137B34E6" w14:textId="77777777" w:rsidR="002E7F16" w:rsidRPr="0076781A" w:rsidRDefault="002E7F16" w:rsidP="00977AF7">
      <w:pPr>
        <w:pStyle w:val="ListParagraph"/>
        <w:numPr>
          <w:ilvl w:val="0"/>
          <w:numId w:val="2"/>
        </w:numPr>
        <w:spacing w:line="360" w:lineRule="auto"/>
        <w:ind w:left="-284" w:right="-567" w:hanging="283"/>
        <w:jc w:val="both"/>
        <w:rPr>
          <w:lang w:val="en-CA"/>
        </w:rPr>
      </w:pPr>
      <w:r w:rsidRPr="0076781A">
        <w:rPr>
          <w:lang w:val="en-CA"/>
        </w:rPr>
        <w:t>Extracts of food items</w:t>
      </w:r>
      <w:r w:rsidR="00977AF7" w:rsidRPr="0076781A">
        <w:rPr>
          <w:lang w:val="en-CA"/>
        </w:rPr>
        <w:t xml:space="preserve"> (in solution or lyophilized)</w:t>
      </w:r>
      <w:r w:rsidRPr="0076781A">
        <w:rPr>
          <w:lang w:val="en-CA"/>
        </w:rPr>
        <w:t>.</w:t>
      </w:r>
    </w:p>
    <w:p w14:paraId="78A91EB0" w14:textId="77777777" w:rsidR="002E7F16" w:rsidRPr="0076781A" w:rsidRDefault="002E7F16" w:rsidP="00977AF7">
      <w:pPr>
        <w:pStyle w:val="ListParagraph"/>
        <w:numPr>
          <w:ilvl w:val="0"/>
          <w:numId w:val="2"/>
        </w:numPr>
        <w:spacing w:line="360" w:lineRule="auto"/>
        <w:ind w:left="-284" w:right="-567" w:hanging="283"/>
        <w:jc w:val="both"/>
        <w:rPr>
          <w:lang w:val="en-CA"/>
        </w:rPr>
      </w:pPr>
      <w:r w:rsidRPr="0076781A">
        <w:rPr>
          <w:lang w:val="en-CA"/>
        </w:rPr>
        <w:t>Samples from animal/human tissues or biofluids that were exposed to a given food item or expected to contain specific metabolites.</w:t>
      </w:r>
    </w:p>
    <w:p w14:paraId="0B0B3C8D" w14:textId="77777777" w:rsidR="004F2297" w:rsidRPr="0076781A" w:rsidRDefault="004F2297" w:rsidP="00977AF7">
      <w:pPr>
        <w:spacing w:line="360" w:lineRule="auto"/>
        <w:ind w:left="-567" w:right="-567"/>
        <w:jc w:val="both"/>
        <w:rPr>
          <w:b/>
          <w:lang w:val="en-CA"/>
        </w:rPr>
      </w:pPr>
    </w:p>
    <w:p w14:paraId="491EB561" w14:textId="77777777" w:rsidR="004F2297" w:rsidRPr="0076781A" w:rsidRDefault="004F2297" w:rsidP="00977AF7">
      <w:pPr>
        <w:spacing w:line="360" w:lineRule="auto"/>
        <w:ind w:left="-567" w:right="-567"/>
        <w:jc w:val="both"/>
        <w:rPr>
          <w:b/>
          <w:lang w:val="en-CA"/>
        </w:rPr>
      </w:pPr>
    </w:p>
    <w:p w14:paraId="3A212102" w14:textId="77777777" w:rsidR="004F2297" w:rsidRPr="0076781A" w:rsidRDefault="004F2297" w:rsidP="00977AF7">
      <w:pPr>
        <w:spacing w:line="360" w:lineRule="auto"/>
        <w:ind w:left="-567" w:right="-567"/>
        <w:jc w:val="both"/>
        <w:rPr>
          <w:b/>
          <w:lang w:val="en-CA"/>
        </w:rPr>
      </w:pPr>
    </w:p>
    <w:p w14:paraId="23FC0A3E" w14:textId="77777777" w:rsidR="00350B6C" w:rsidRPr="0076781A" w:rsidRDefault="00765FA3" w:rsidP="00977AF7">
      <w:pPr>
        <w:spacing w:line="360" w:lineRule="auto"/>
        <w:ind w:left="-567" w:right="-567"/>
        <w:jc w:val="both"/>
        <w:rPr>
          <w:b/>
          <w:lang w:val="en-CA"/>
        </w:rPr>
      </w:pPr>
      <w:r w:rsidRPr="0076781A">
        <w:rPr>
          <w:b/>
          <w:lang w:val="en-CA"/>
        </w:rPr>
        <w:lastRenderedPageBreak/>
        <w:t>2</w:t>
      </w:r>
      <w:r w:rsidR="00350B6C" w:rsidRPr="0076781A">
        <w:rPr>
          <w:b/>
          <w:lang w:val="en-CA"/>
        </w:rPr>
        <w:t xml:space="preserve"> – REGISTRATION</w:t>
      </w:r>
    </w:p>
    <w:p w14:paraId="1721AF10" w14:textId="77777777" w:rsidR="00350B6C" w:rsidRPr="0076781A" w:rsidRDefault="00977AF7" w:rsidP="00977AF7">
      <w:pPr>
        <w:pStyle w:val="ListParagraph"/>
        <w:spacing w:line="360" w:lineRule="auto"/>
        <w:ind w:left="-567" w:right="-567"/>
        <w:jc w:val="both"/>
        <w:rPr>
          <w:lang w:val="en-CA"/>
        </w:rPr>
      </w:pPr>
      <w:r w:rsidRPr="0076781A">
        <w:rPr>
          <w:lang w:val="en-CA"/>
        </w:rPr>
        <w:t>Providers</w:t>
      </w:r>
      <w:r w:rsidR="001760B5" w:rsidRPr="0076781A">
        <w:rPr>
          <w:lang w:val="en-CA"/>
        </w:rPr>
        <w:t xml:space="preserve"> that are willing to share compounds or reference materials produced in their laboratories must fill the </w:t>
      </w:r>
      <w:r w:rsidR="001760B5" w:rsidRPr="0076781A">
        <w:rPr>
          <w:b/>
          <w:lang w:val="en-CA"/>
        </w:rPr>
        <w:t>registration form</w:t>
      </w:r>
      <w:r w:rsidR="00350B6C" w:rsidRPr="0076781A">
        <w:rPr>
          <w:lang w:val="en-CA"/>
        </w:rPr>
        <w:t xml:space="preserve"> to be able to </w:t>
      </w:r>
      <w:r w:rsidR="001760B5" w:rsidRPr="0076781A">
        <w:rPr>
          <w:lang w:val="en-CA"/>
        </w:rPr>
        <w:t>upload a new compound in the database.</w:t>
      </w:r>
    </w:p>
    <w:p w14:paraId="0245B7AE" w14:textId="77777777" w:rsidR="00350B6C" w:rsidRPr="0076781A" w:rsidRDefault="00977AF7" w:rsidP="00977AF7">
      <w:pPr>
        <w:pStyle w:val="ListParagraph"/>
        <w:spacing w:line="360" w:lineRule="auto"/>
        <w:ind w:left="-567" w:right="-567"/>
        <w:jc w:val="both"/>
        <w:rPr>
          <w:lang w:val="en-CA"/>
        </w:rPr>
      </w:pPr>
      <w:r w:rsidRPr="0076781A">
        <w:rPr>
          <w:lang w:val="en-CA"/>
        </w:rPr>
        <w:t>Browsing</w:t>
      </w:r>
      <w:r w:rsidR="001760B5" w:rsidRPr="0076781A">
        <w:rPr>
          <w:lang w:val="en-CA"/>
        </w:rPr>
        <w:t xml:space="preserve"> the library of</w:t>
      </w:r>
      <w:r w:rsidR="00350B6C" w:rsidRPr="0076781A">
        <w:rPr>
          <w:lang w:val="en-CA"/>
        </w:rPr>
        <w:t xml:space="preserve"> compounds/</w:t>
      </w:r>
      <w:r w:rsidR="001760B5" w:rsidRPr="0076781A">
        <w:rPr>
          <w:lang w:val="en-CA"/>
        </w:rPr>
        <w:t>reference material</w:t>
      </w:r>
      <w:r w:rsidR="00BF1127" w:rsidRPr="0076781A">
        <w:rPr>
          <w:lang w:val="en-CA"/>
        </w:rPr>
        <w:t>s</w:t>
      </w:r>
      <w:r w:rsidR="00350B6C" w:rsidRPr="0076781A">
        <w:rPr>
          <w:lang w:val="en-CA"/>
        </w:rPr>
        <w:t xml:space="preserve"> </w:t>
      </w:r>
      <w:r w:rsidRPr="0076781A">
        <w:rPr>
          <w:lang w:val="en-CA"/>
        </w:rPr>
        <w:t>does not require</w:t>
      </w:r>
      <w:r w:rsidR="00350B6C" w:rsidRPr="0076781A">
        <w:rPr>
          <w:lang w:val="en-CA"/>
        </w:rPr>
        <w:t xml:space="preserve"> registration, but </w:t>
      </w:r>
      <w:r w:rsidR="009941F7" w:rsidRPr="0076781A">
        <w:rPr>
          <w:lang w:val="en-CA"/>
        </w:rPr>
        <w:t>recipients must be registered</w:t>
      </w:r>
      <w:r w:rsidR="00350B6C" w:rsidRPr="0076781A">
        <w:rPr>
          <w:lang w:val="en-CA"/>
        </w:rPr>
        <w:t xml:space="preserve"> </w:t>
      </w:r>
      <w:r w:rsidR="001760B5" w:rsidRPr="0076781A">
        <w:rPr>
          <w:lang w:val="en-CA"/>
        </w:rPr>
        <w:t xml:space="preserve">in order to contact the </w:t>
      </w:r>
      <w:r w:rsidR="009941F7" w:rsidRPr="0076781A">
        <w:rPr>
          <w:lang w:val="en-CA"/>
        </w:rPr>
        <w:t>providers</w:t>
      </w:r>
      <w:r w:rsidR="001760B5" w:rsidRPr="0076781A">
        <w:rPr>
          <w:lang w:val="en-CA"/>
        </w:rPr>
        <w:t xml:space="preserve"> to share compounds or reference materials.</w:t>
      </w:r>
    </w:p>
    <w:p w14:paraId="47A450E6" w14:textId="77777777" w:rsidR="00765FA3" w:rsidRPr="0076781A" w:rsidRDefault="00765FA3" w:rsidP="00977AF7">
      <w:pPr>
        <w:spacing w:line="360" w:lineRule="auto"/>
        <w:ind w:left="-567" w:right="-567"/>
        <w:jc w:val="both"/>
        <w:rPr>
          <w:lang w:val="en-CA"/>
        </w:rPr>
      </w:pPr>
    </w:p>
    <w:p w14:paraId="05C0545D" w14:textId="77777777" w:rsidR="00350B6C" w:rsidRPr="0076781A" w:rsidRDefault="00765FA3" w:rsidP="00977AF7">
      <w:pPr>
        <w:spacing w:line="360" w:lineRule="auto"/>
        <w:ind w:left="-567" w:right="-567"/>
        <w:jc w:val="both"/>
        <w:rPr>
          <w:b/>
          <w:lang w:val="en-CA"/>
        </w:rPr>
      </w:pPr>
      <w:r w:rsidRPr="0076781A">
        <w:rPr>
          <w:b/>
          <w:lang w:val="en-CA"/>
        </w:rPr>
        <w:t>3</w:t>
      </w:r>
      <w:r w:rsidR="00BF1127" w:rsidRPr="0076781A">
        <w:rPr>
          <w:b/>
          <w:lang w:val="en-CA"/>
        </w:rPr>
        <w:t xml:space="preserve"> – TERMS OF AGREEMENT</w:t>
      </w:r>
    </w:p>
    <w:p w14:paraId="3E711EDF" w14:textId="77777777" w:rsidR="00BF1127" w:rsidRPr="0076781A" w:rsidRDefault="00BF1127" w:rsidP="00977AF7">
      <w:pPr>
        <w:spacing w:line="360" w:lineRule="auto"/>
        <w:ind w:left="-567" w:right="-567"/>
        <w:jc w:val="both"/>
        <w:rPr>
          <w:lang w:val="en-CA"/>
        </w:rPr>
      </w:pPr>
      <w:r w:rsidRPr="0076781A">
        <w:rPr>
          <w:lang w:val="en-CA"/>
        </w:rPr>
        <w:t>Depending on bilateral agreements, compounds or reference materials can be shared</w:t>
      </w:r>
      <w:r w:rsidR="004F2297" w:rsidRPr="0076781A">
        <w:rPr>
          <w:lang w:val="en-CA"/>
        </w:rPr>
        <w:t xml:space="preserve"> in exchange of the payment of production costs,</w:t>
      </w:r>
      <w:r w:rsidRPr="0076781A">
        <w:rPr>
          <w:lang w:val="en-CA"/>
        </w:rPr>
        <w:t xml:space="preserve"> free of charge or in exchange for goods </w:t>
      </w:r>
      <w:r w:rsidR="004F2297" w:rsidRPr="0076781A">
        <w:rPr>
          <w:lang w:val="en-CA"/>
        </w:rPr>
        <w:t xml:space="preserve">or services (e.g., analyses, consumables), or co-authorships. </w:t>
      </w:r>
      <w:r w:rsidRPr="0076781A">
        <w:rPr>
          <w:lang w:val="en-CA"/>
        </w:rPr>
        <w:t xml:space="preserve">This point should be made clear at the </w:t>
      </w:r>
      <w:r w:rsidR="0076781A" w:rsidRPr="0076781A">
        <w:rPr>
          <w:lang w:val="en-CA"/>
        </w:rPr>
        <w:t>beginning</w:t>
      </w:r>
      <w:r w:rsidRPr="0076781A">
        <w:rPr>
          <w:lang w:val="en-CA"/>
        </w:rPr>
        <w:t xml:space="preserve"> of the negotiations.</w:t>
      </w:r>
    </w:p>
    <w:p w14:paraId="14BA1580" w14:textId="77777777" w:rsidR="00BF1127" w:rsidRPr="0076781A" w:rsidRDefault="00BF1127" w:rsidP="00977AF7">
      <w:pPr>
        <w:spacing w:line="360" w:lineRule="auto"/>
        <w:ind w:left="-567" w:right="-567"/>
        <w:jc w:val="both"/>
        <w:rPr>
          <w:lang w:val="en-CA"/>
        </w:rPr>
      </w:pPr>
      <w:r w:rsidRPr="0076781A">
        <w:rPr>
          <w:lang w:val="en-CA"/>
        </w:rPr>
        <w:t xml:space="preserve">We recommend that the recipient of the compounds or reference material </w:t>
      </w:r>
      <w:r w:rsidR="009941F7" w:rsidRPr="0076781A">
        <w:rPr>
          <w:lang w:val="en-CA"/>
        </w:rPr>
        <w:t>should</w:t>
      </w:r>
      <w:r w:rsidR="000850F0" w:rsidRPr="0076781A">
        <w:rPr>
          <w:lang w:val="en-CA"/>
        </w:rPr>
        <w:t xml:space="preserve"> bear</w:t>
      </w:r>
      <w:r w:rsidRPr="0076781A">
        <w:rPr>
          <w:lang w:val="en-CA"/>
        </w:rPr>
        <w:t xml:space="preserve"> the costs of shipment. This is however to be decided between the two parts and made clear from the </w:t>
      </w:r>
      <w:r w:rsidR="0076781A" w:rsidRPr="0076781A">
        <w:rPr>
          <w:lang w:val="en-CA"/>
        </w:rPr>
        <w:t>beginning</w:t>
      </w:r>
      <w:r w:rsidRPr="0076781A">
        <w:rPr>
          <w:lang w:val="en-CA"/>
        </w:rPr>
        <w:t>.</w:t>
      </w:r>
    </w:p>
    <w:p w14:paraId="41D783BA" w14:textId="77777777" w:rsidR="00D20641" w:rsidRPr="0076781A" w:rsidRDefault="00D20641" w:rsidP="00977AF7">
      <w:pPr>
        <w:spacing w:line="360" w:lineRule="auto"/>
        <w:ind w:left="-567" w:right="-567"/>
        <w:jc w:val="both"/>
        <w:rPr>
          <w:lang w:val="en-CA"/>
        </w:rPr>
      </w:pPr>
    </w:p>
    <w:p w14:paraId="03E54134" w14:textId="77777777" w:rsidR="00D20641" w:rsidRPr="0076781A" w:rsidRDefault="00765FA3" w:rsidP="00977AF7">
      <w:pPr>
        <w:spacing w:line="360" w:lineRule="auto"/>
        <w:ind w:left="-567" w:right="-567"/>
        <w:jc w:val="both"/>
        <w:rPr>
          <w:b/>
          <w:lang w:val="en-CA"/>
        </w:rPr>
      </w:pPr>
      <w:r w:rsidRPr="0076781A">
        <w:rPr>
          <w:b/>
          <w:lang w:val="en-CA"/>
        </w:rPr>
        <w:t>4</w:t>
      </w:r>
      <w:r w:rsidR="00D20641" w:rsidRPr="0076781A">
        <w:rPr>
          <w:b/>
          <w:lang w:val="en-CA"/>
        </w:rPr>
        <w:t xml:space="preserve"> – COMMUNICATION BETWEEN THE PROVIDER AND RECIPIENT</w:t>
      </w:r>
    </w:p>
    <w:p w14:paraId="0D031813" w14:textId="77777777" w:rsidR="00D20641" w:rsidRPr="0076781A" w:rsidRDefault="009941F7" w:rsidP="00977AF7">
      <w:pPr>
        <w:spacing w:line="360" w:lineRule="auto"/>
        <w:ind w:left="-567" w:right="-567"/>
        <w:jc w:val="both"/>
        <w:rPr>
          <w:lang w:val="en-CA"/>
        </w:rPr>
      </w:pPr>
      <w:r w:rsidRPr="0076781A">
        <w:rPr>
          <w:lang w:val="en-CA"/>
        </w:rPr>
        <w:t>Once</w:t>
      </w:r>
      <w:r w:rsidR="00D20641" w:rsidRPr="0076781A">
        <w:rPr>
          <w:lang w:val="en-CA"/>
        </w:rPr>
        <w:t xml:space="preserve"> scientist</w:t>
      </w:r>
      <w:r w:rsidRPr="0076781A">
        <w:rPr>
          <w:lang w:val="en-CA"/>
        </w:rPr>
        <w:t>s are</w:t>
      </w:r>
      <w:r w:rsidR="00D20641" w:rsidRPr="0076781A">
        <w:rPr>
          <w:lang w:val="en-CA"/>
        </w:rPr>
        <w:t xml:space="preserve"> interested on a compound or reference material from the compound library, </w:t>
      </w:r>
      <w:r w:rsidRPr="0076781A">
        <w:rPr>
          <w:lang w:val="en-CA"/>
        </w:rPr>
        <w:t>they</w:t>
      </w:r>
      <w:r w:rsidR="00D20641" w:rsidRPr="0076781A">
        <w:rPr>
          <w:lang w:val="en-CA"/>
        </w:rPr>
        <w:t xml:space="preserve"> must contact the group offering the compound using the </w:t>
      </w:r>
      <w:r w:rsidR="000850F0" w:rsidRPr="0076781A">
        <w:rPr>
          <w:lang w:val="en-CA"/>
        </w:rPr>
        <w:t>link « </w:t>
      </w:r>
      <w:r w:rsidR="000850F0" w:rsidRPr="0076781A">
        <w:rPr>
          <w:b/>
          <w:lang w:val="en-CA"/>
        </w:rPr>
        <w:t>contact provider</w:t>
      </w:r>
      <w:r w:rsidR="000850F0" w:rsidRPr="0076781A">
        <w:rPr>
          <w:lang w:val="en-CA"/>
        </w:rPr>
        <w:t> »</w:t>
      </w:r>
      <w:r w:rsidR="00D20641" w:rsidRPr="0076781A">
        <w:rPr>
          <w:lang w:val="en-CA"/>
        </w:rPr>
        <w:t xml:space="preserve"> in </w:t>
      </w:r>
      <w:r w:rsidR="000850F0" w:rsidRPr="0076781A">
        <w:rPr>
          <w:lang w:val="en-CA"/>
        </w:rPr>
        <w:t>the</w:t>
      </w:r>
      <w:r w:rsidR="000C4B53" w:rsidRPr="0076781A">
        <w:rPr>
          <w:lang w:val="en-CA"/>
        </w:rPr>
        <w:t xml:space="preserve"> Metabocard</w:t>
      </w:r>
      <w:r w:rsidR="004F2297" w:rsidRPr="0076781A">
        <w:rPr>
          <w:lang w:val="en-CA"/>
        </w:rPr>
        <w:t xml:space="preserve">. </w:t>
      </w:r>
      <w:r w:rsidR="000850F0" w:rsidRPr="0076781A">
        <w:rPr>
          <w:lang w:val="en-CA"/>
        </w:rPr>
        <w:t>All</w:t>
      </w:r>
      <w:r w:rsidR="00D20641" w:rsidRPr="0076781A">
        <w:rPr>
          <w:lang w:val="en-CA"/>
        </w:rPr>
        <w:t xml:space="preserve"> communications </w:t>
      </w:r>
      <w:r w:rsidR="000850F0" w:rsidRPr="0076781A">
        <w:rPr>
          <w:lang w:val="en-CA"/>
        </w:rPr>
        <w:t>should be made in this way to en</w:t>
      </w:r>
      <w:r w:rsidR="00D20641" w:rsidRPr="0076781A">
        <w:rPr>
          <w:lang w:val="en-CA"/>
        </w:rPr>
        <w:t xml:space="preserve">sure transparency and traceability of the </w:t>
      </w:r>
      <w:r w:rsidR="000850F0" w:rsidRPr="0076781A">
        <w:rPr>
          <w:lang w:val="en-CA"/>
        </w:rPr>
        <w:t>agreement</w:t>
      </w:r>
      <w:r w:rsidR="00D20641" w:rsidRPr="0076781A">
        <w:rPr>
          <w:lang w:val="en-CA"/>
        </w:rPr>
        <w:t xml:space="preserve"> between both parts.</w:t>
      </w:r>
    </w:p>
    <w:p w14:paraId="4ABF3C83" w14:textId="77777777" w:rsidR="00BF1127" w:rsidRPr="0076781A" w:rsidRDefault="00BF1127" w:rsidP="00977AF7">
      <w:pPr>
        <w:spacing w:line="360" w:lineRule="auto"/>
        <w:ind w:left="-567" w:right="-567"/>
        <w:jc w:val="both"/>
        <w:rPr>
          <w:lang w:val="en-CA"/>
        </w:rPr>
      </w:pPr>
    </w:p>
    <w:p w14:paraId="25813C7E" w14:textId="77777777" w:rsidR="00BF1127" w:rsidRPr="0076781A" w:rsidRDefault="00765FA3" w:rsidP="00977AF7">
      <w:pPr>
        <w:spacing w:line="360" w:lineRule="auto"/>
        <w:ind w:left="-567" w:right="-567"/>
        <w:jc w:val="both"/>
        <w:rPr>
          <w:b/>
          <w:lang w:val="en-CA"/>
        </w:rPr>
      </w:pPr>
      <w:r w:rsidRPr="0076781A">
        <w:rPr>
          <w:b/>
          <w:lang w:val="en-CA"/>
        </w:rPr>
        <w:t>5</w:t>
      </w:r>
      <w:r w:rsidR="00385DBC">
        <w:rPr>
          <w:b/>
          <w:lang w:val="en-CA"/>
        </w:rPr>
        <w:t xml:space="preserve"> – RESPONSI</w:t>
      </w:r>
      <w:r w:rsidR="00BF1127" w:rsidRPr="0076781A">
        <w:rPr>
          <w:b/>
          <w:lang w:val="en-CA"/>
        </w:rPr>
        <w:t>BILITIES OF THE PROVIDER</w:t>
      </w:r>
    </w:p>
    <w:p w14:paraId="69FA6B83" w14:textId="77777777" w:rsidR="00BF1127" w:rsidRPr="0076781A" w:rsidRDefault="00BF1127" w:rsidP="00977AF7">
      <w:pPr>
        <w:spacing w:line="360" w:lineRule="auto"/>
        <w:ind w:left="-567" w:right="-567"/>
        <w:jc w:val="both"/>
        <w:rPr>
          <w:lang w:val="en-CA"/>
        </w:rPr>
      </w:pPr>
      <w:r w:rsidRPr="0076781A">
        <w:rPr>
          <w:lang w:val="en-CA"/>
        </w:rPr>
        <w:t xml:space="preserve">The provider has to make sure that the compound or reference material sent to the </w:t>
      </w:r>
      <w:r w:rsidR="000850F0" w:rsidRPr="0076781A">
        <w:rPr>
          <w:lang w:val="en-CA"/>
        </w:rPr>
        <w:t>recipient</w:t>
      </w:r>
      <w:r w:rsidRPr="0076781A">
        <w:rPr>
          <w:lang w:val="en-CA"/>
        </w:rPr>
        <w:t xml:space="preserve"> meets the characteristics described in the metabocard.</w:t>
      </w:r>
      <w:r w:rsidR="00D20641" w:rsidRPr="0076781A">
        <w:rPr>
          <w:lang w:val="en-CA"/>
        </w:rPr>
        <w:t xml:space="preserve"> If there are </w:t>
      </w:r>
      <w:r w:rsidR="009941F7" w:rsidRPr="0076781A">
        <w:rPr>
          <w:lang w:val="en-CA"/>
        </w:rPr>
        <w:t xml:space="preserve">changes not yet updated in </w:t>
      </w:r>
      <w:r w:rsidR="00D20641" w:rsidRPr="0076781A">
        <w:rPr>
          <w:lang w:val="en-CA"/>
        </w:rPr>
        <w:t>the online version of the metabocard, these must be made clear to the recipient prior the shipment.</w:t>
      </w:r>
    </w:p>
    <w:p w14:paraId="46FB7434" w14:textId="77777777" w:rsidR="00BF1127" w:rsidRPr="0076781A" w:rsidRDefault="00BF1127" w:rsidP="00977AF7">
      <w:pPr>
        <w:spacing w:line="360" w:lineRule="auto"/>
        <w:ind w:left="-567" w:right="-567"/>
        <w:jc w:val="both"/>
        <w:rPr>
          <w:lang w:val="en-CA"/>
        </w:rPr>
      </w:pPr>
      <w:r w:rsidRPr="0076781A">
        <w:rPr>
          <w:lang w:val="en-CA"/>
        </w:rPr>
        <w:t xml:space="preserve">The provider must </w:t>
      </w:r>
      <w:r w:rsidR="00D20641" w:rsidRPr="0076781A">
        <w:rPr>
          <w:lang w:val="en-CA"/>
        </w:rPr>
        <w:t xml:space="preserve">send a report (model below) </w:t>
      </w:r>
      <w:r w:rsidR="002B4D26" w:rsidRPr="0076781A">
        <w:rPr>
          <w:lang w:val="en-CA"/>
        </w:rPr>
        <w:t xml:space="preserve">with the shipment of the product, </w:t>
      </w:r>
      <w:r w:rsidR="00D20641" w:rsidRPr="0076781A">
        <w:rPr>
          <w:lang w:val="en-CA"/>
        </w:rPr>
        <w:t xml:space="preserve">confirming </w:t>
      </w:r>
      <w:r w:rsidR="002B4D26" w:rsidRPr="0076781A">
        <w:rPr>
          <w:lang w:val="en-CA"/>
        </w:rPr>
        <w:t>its</w:t>
      </w:r>
      <w:r w:rsidR="00D20641" w:rsidRPr="0076781A">
        <w:rPr>
          <w:lang w:val="en-CA"/>
        </w:rPr>
        <w:t xml:space="preserve"> characteristics. </w:t>
      </w:r>
      <w:r w:rsidR="00CA3D6E" w:rsidRPr="0076781A">
        <w:rPr>
          <w:lang w:val="en-CA"/>
        </w:rPr>
        <w:t xml:space="preserve">These </w:t>
      </w:r>
      <w:r w:rsidR="004F2297" w:rsidRPr="0076781A">
        <w:rPr>
          <w:lang w:val="en-CA"/>
        </w:rPr>
        <w:t>can</w:t>
      </w:r>
      <w:r w:rsidR="0076781A">
        <w:rPr>
          <w:lang w:val="en-CA"/>
        </w:rPr>
        <w:t xml:space="preserve"> include</w:t>
      </w:r>
      <w:r w:rsidR="00CA3D6E" w:rsidRPr="0076781A">
        <w:rPr>
          <w:lang w:val="en-CA"/>
        </w:rPr>
        <w:t>:</w:t>
      </w:r>
    </w:p>
    <w:p w14:paraId="37A5D325" w14:textId="77777777" w:rsidR="00765FA3" w:rsidRPr="0076781A" w:rsidRDefault="00765FA3" w:rsidP="00977AF7">
      <w:pPr>
        <w:pStyle w:val="ListParagraph"/>
        <w:numPr>
          <w:ilvl w:val="1"/>
          <w:numId w:val="3"/>
        </w:numPr>
        <w:spacing w:line="360" w:lineRule="auto"/>
        <w:ind w:left="-142" w:right="-567" w:hanging="425"/>
        <w:jc w:val="both"/>
        <w:rPr>
          <w:lang w:val="en-CA"/>
        </w:rPr>
      </w:pPr>
      <w:r w:rsidRPr="0076781A">
        <w:rPr>
          <w:lang w:val="en-CA"/>
        </w:rPr>
        <w:t>Production method (chemical or enzymatic synthesis, extraction etc</w:t>
      </w:r>
      <w:r w:rsidR="0076781A">
        <w:rPr>
          <w:lang w:val="en-CA"/>
        </w:rPr>
        <w:t>.</w:t>
      </w:r>
      <w:r w:rsidRPr="0076781A">
        <w:rPr>
          <w:lang w:val="en-CA"/>
        </w:rPr>
        <w:t>)</w:t>
      </w:r>
    </w:p>
    <w:p w14:paraId="6FA20DA0" w14:textId="77777777" w:rsidR="00CA3D6E" w:rsidRPr="0076781A" w:rsidRDefault="00CA3D6E" w:rsidP="00977AF7">
      <w:pPr>
        <w:pStyle w:val="ListParagraph"/>
        <w:numPr>
          <w:ilvl w:val="1"/>
          <w:numId w:val="3"/>
        </w:numPr>
        <w:spacing w:line="360" w:lineRule="auto"/>
        <w:ind w:left="-142" w:right="-567" w:hanging="425"/>
        <w:jc w:val="both"/>
        <w:rPr>
          <w:lang w:val="en-CA"/>
        </w:rPr>
      </w:pPr>
      <w:r w:rsidRPr="0076781A">
        <w:rPr>
          <w:lang w:val="en-CA"/>
        </w:rPr>
        <w:t>Appearance of the product (color, texture…)</w:t>
      </w:r>
    </w:p>
    <w:p w14:paraId="36F1B580" w14:textId="77777777" w:rsidR="00CA3D6E" w:rsidRPr="0076781A" w:rsidRDefault="00CA3D6E" w:rsidP="00977AF7">
      <w:pPr>
        <w:pStyle w:val="ListParagraph"/>
        <w:numPr>
          <w:ilvl w:val="1"/>
          <w:numId w:val="3"/>
        </w:numPr>
        <w:spacing w:line="360" w:lineRule="auto"/>
        <w:ind w:left="-142" w:right="-567" w:hanging="425"/>
        <w:jc w:val="both"/>
        <w:rPr>
          <w:lang w:val="en-CA"/>
        </w:rPr>
      </w:pPr>
      <w:r w:rsidRPr="0076781A">
        <w:rPr>
          <w:lang w:val="en-CA"/>
        </w:rPr>
        <w:t>Recommended storage conditions (temperature, light)</w:t>
      </w:r>
    </w:p>
    <w:p w14:paraId="71CCCB6F" w14:textId="77777777" w:rsidR="00CA3D6E" w:rsidRPr="0076781A" w:rsidRDefault="00CA3D6E" w:rsidP="00977AF7">
      <w:pPr>
        <w:pStyle w:val="ListParagraph"/>
        <w:numPr>
          <w:ilvl w:val="1"/>
          <w:numId w:val="3"/>
        </w:numPr>
        <w:spacing w:line="360" w:lineRule="auto"/>
        <w:ind w:left="-142" w:right="-567" w:hanging="425"/>
        <w:jc w:val="both"/>
        <w:rPr>
          <w:lang w:val="en-CA"/>
        </w:rPr>
      </w:pPr>
      <w:r w:rsidRPr="0076781A">
        <w:rPr>
          <w:lang w:val="en-CA"/>
        </w:rPr>
        <w:t>Data on possible</w:t>
      </w:r>
      <w:r w:rsidR="00765FA3" w:rsidRPr="0076781A">
        <w:rPr>
          <w:lang w:val="en-CA"/>
        </w:rPr>
        <w:t xml:space="preserve"> contaminants</w:t>
      </w:r>
      <w:r w:rsidRPr="0076781A">
        <w:rPr>
          <w:lang w:val="en-CA"/>
        </w:rPr>
        <w:t xml:space="preserve"> (if available)</w:t>
      </w:r>
    </w:p>
    <w:p w14:paraId="58A55CA8" w14:textId="77777777" w:rsidR="00CA3D6E" w:rsidRPr="0076781A" w:rsidRDefault="000850F0" w:rsidP="00977AF7">
      <w:pPr>
        <w:pStyle w:val="ListParagraph"/>
        <w:numPr>
          <w:ilvl w:val="1"/>
          <w:numId w:val="3"/>
        </w:numPr>
        <w:spacing w:line="360" w:lineRule="auto"/>
        <w:ind w:left="-142" w:right="-567" w:hanging="425"/>
        <w:jc w:val="both"/>
        <w:rPr>
          <w:lang w:val="en-CA"/>
        </w:rPr>
      </w:pPr>
      <w:r w:rsidRPr="0076781A">
        <w:rPr>
          <w:lang w:val="en-CA"/>
        </w:rPr>
        <w:lastRenderedPageBreak/>
        <w:t xml:space="preserve">Date of isolation/synthesis or execution of the experiment </w:t>
      </w:r>
      <w:r w:rsidR="002E639E" w:rsidRPr="0076781A">
        <w:rPr>
          <w:lang w:val="en-CA"/>
        </w:rPr>
        <w:t xml:space="preserve">that generated the compound/reference material </w:t>
      </w:r>
      <w:r w:rsidRPr="0076781A">
        <w:rPr>
          <w:lang w:val="en-CA"/>
        </w:rPr>
        <w:t>as well as s</w:t>
      </w:r>
      <w:r w:rsidR="00CA3D6E" w:rsidRPr="0076781A">
        <w:rPr>
          <w:lang w:val="en-CA"/>
        </w:rPr>
        <w:t>tability data (if available)</w:t>
      </w:r>
    </w:p>
    <w:p w14:paraId="5AE07245" w14:textId="77777777" w:rsidR="00CA3D6E" w:rsidRPr="0076781A" w:rsidRDefault="00CA3D6E" w:rsidP="00977AF7">
      <w:pPr>
        <w:pStyle w:val="ListParagraph"/>
        <w:numPr>
          <w:ilvl w:val="1"/>
          <w:numId w:val="3"/>
        </w:numPr>
        <w:spacing w:line="360" w:lineRule="auto"/>
        <w:ind w:left="-142" w:right="-567" w:hanging="425"/>
        <w:jc w:val="both"/>
        <w:rPr>
          <w:lang w:val="en-CA"/>
        </w:rPr>
      </w:pPr>
      <w:r w:rsidRPr="0076781A">
        <w:rPr>
          <w:lang w:val="en-CA"/>
        </w:rPr>
        <w:t>Recommended solubilisation conditions (if known)</w:t>
      </w:r>
    </w:p>
    <w:p w14:paraId="6F8CA7B7" w14:textId="77777777" w:rsidR="002E639E" w:rsidRPr="0076781A" w:rsidRDefault="002E639E" w:rsidP="00977AF7">
      <w:pPr>
        <w:pStyle w:val="ListParagraph"/>
        <w:numPr>
          <w:ilvl w:val="1"/>
          <w:numId w:val="3"/>
        </w:numPr>
        <w:spacing w:line="360" w:lineRule="auto"/>
        <w:ind w:left="-142" w:right="-567" w:hanging="425"/>
        <w:jc w:val="both"/>
        <w:rPr>
          <w:lang w:val="en-CA"/>
        </w:rPr>
      </w:pPr>
      <w:r w:rsidRPr="0076781A">
        <w:rPr>
          <w:lang w:val="en-CA"/>
        </w:rPr>
        <w:t>Information on hazards associated with the product (flammability in case of solutions containing organic solvents, etc.)</w:t>
      </w:r>
    </w:p>
    <w:p w14:paraId="020B11D8" w14:textId="77777777" w:rsidR="00765FA3" w:rsidRPr="0076781A" w:rsidRDefault="00765FA3" w:rsidP="00977AF7">
      <w:pPr>
        <w:pStyle w:val="ListParagraph"/>
        <w:numPr>
          <w:ilvl w:val="1"/>
          <w:numId w:val="3"/>
        </w:numPr>
        <w:spacing w:line="360" w:lineRule="auto"/>
        <w:ind w:left="-142" w:right="-567" w:hanging="425"/>
        <w:jc w:val="both"/>
        <w:rPr>
          <w:lang w:val="en-CA"/>
        </w:rPr>
      </w:pPr>
      <w:r w:rsidRPr="0076781A">
        <w:rPr>
          <w:lang w:val="en-CA"/>
        </w:rPr>
        <w:t>If the product is an extract or whole biological sample, state which are the expe</w:t>
      </w:r>
      <w:r w:rsidR="004F2297" w:rsidRPr="0076781A">
        <w:rPr>
          <w:lang w:val="en-CA"/>
        </w:rPr>
        <w:t xml:space="preserve">cted metabolites of interest </w:t>
      </w:r>
      <w:r w:rsidRPr="0076781A">
        <w:rPr>
          <w:lang w:val="en-CA"/>
        </w:rPr>
        <w:t>in the sample.</w:t>
      </w:r>
    </w:p>
    <w:p w14:paraId="7DB83068" w14:textId="77777777" w:rsidR="00765FA3" w:rsidRPr="0076781A" w:rsidRDefault="00765FA3" w:rsidP="00977AF7">
      <w:pPr>
        <w:pStyle w:val="ListParagraph"/>
        <w:numPr>
          <w:ilvl w:val="1"/>
          <w:numId w:val="3"/>
        </w:numPr>
        <w:spacing w:line="360" w:lineRule="auto"/>
        <w:ind w:left="-142" w:right="-567" w:hanging="425"/>
        <w:jc w:val="both"/>
        <w:rPr>
          <w:lang w:val="en-CA"/>
        </w:rPr>
      </w:pPr>
      <w:r w:rsidRPr="0076781A">
        <w:rPr>
          <w:lang w:val="en-CA"/>
        </w:rPr>
        <w:t xml:space="preserve">Full taxonomic identification if the product </w:t>
      </w:r>
      <w:r w:rsidR="002E639E" w:rsidRPr="0076781A">
        <w:rPr>
          <w:lang w:val="en-CA"/>
        </w:rPr>
        <w:t>was</w:t>
      </w:r>
      <w:r w:rsidRPr="0076781A">
        <w:rPr>
          <w:lang w:val="en-CA"/>
        </w:rPr>
        <w:t xml:space="preserve"> </w:t>
      </w:r>
      <w:r w:rsidR="00E07D18" w:rsidRPr="0076781A">
        <w:rPr>
          <w:lang w:val="en-CA"/>
        </w:rPr>
        <w:t>isolated</w:t>
      </w:r>
      <w:r w:rsidRPr="0076781A">
        <w:rPr>
          <w:lang w:val="en-CA"/>
        </w:rPr>
        <w:t xml:space="preserve"> from</w:t>
      </w:r>
      <w:r w:rsidR="00E07D18" w:rsidRPr="0076781A">
        <w:rPr>
          <w:lang w:val="en-CA"/>
        </w:rPr>
        <w:t xml:space="preserve"> a biological sample.</w:t>
      </w:r>
    </w:p>
    <w:p w14:paraId="1E25F4AE" w14:textId="77777777" w:rsidR="00765FA3" w:rsidRPr="0076781A" w:rsidRDefault="00765FA3" w:rsidP="00977AF7">
      <w:pPr>
        <w:pStyle w:val="ListParagraph"/>
        <w:numPr>
          <w:ilvl w:val="1"/>
          <w:numId w:val="3"/>
        </w:numPr>
        <w:spacing w:line="360" w:lineRule="auto"/>
        <w:ind w:left="-142" w:right="-567" w:hanging="425"/>
        <w:jc w:val="both"/>
        <w:rPr>
          <w:lang w:val="en-CA"/>
        </w:rPr>
      </w:pPr>
      <w:r w:rsidRPr="0076781A">
        <w:rPr>
          <w:lang w:val="en-CA"/>
        </w:rPr>
        <w:t>In case of pure compounds and if available, spectral information (MS, MS/MS, UV or NMR).</w:t>
      </w:r>
    </w:p>
    <w:p w14:paraId="31287B2C" w14:textId="77777777" w:rsidR="00D20641" w:rsidRPr="0076781A" w:rsidRDefault="00D20641" w:rsidP="00977AF7">
      <w:pPr>
        <w:spacing w:line="360" w:lineRule="auto"/>
        <w:ind w:left="-567" w:right="-567"/>
        <w:jc w:val="both"/>
        <w:rPr>
          <w:lang w:val="en-CA"/>
        </w:rPr>
      </w:pPr>
    </w:p>
    <w:p w14:paraId="790A1728" w14:textId="77777777" w:rsidR="00D20641" w:rsidRPr="0076781A" w:rsidRDefault="00765FA3" w:rsidP="00977AF7">
      <w:pPr>
        <w:spacing w:line="360" w:lineRule="auto"/>
        <w:ind w:left="-567" w:right="-567"/>
        <w:jc w:val="both"/>
        <w:rPr>
          <w:b/>
          <w:lang w:val="en-CA"/>
        </w:rPr>
      </w:pPr>
      <w:r w:rsidRPr="0076781A">
        <w:rPr>
          <w:b/>
          <w:lang w:val="en-CA"/>
        </w:rPr>
        <w:t>6</w:t>
      </w:r>
      <w:r w:rsidR="00385DBC">
        <w:rPr>
          <w:b/>
          <w:lang w:val="en-CA"/>
        </w:rPr>
        <w:t xml:space="preserve"> – RESPONSI</w:t>
      </w:r>
      <w:bookmarkStart w:id="0" w:name="_GoBack"/>
      <w:bookmarkEnd w:id="0"/>
      <w:r w:rsidR="00D20641" w:rsidRPr="0076781A">
        <w:rPr>
          <w:b/>
          <w:lang w:val="en-CA"/>
        </w:rPr>
        <w:t xml:space="preserve">BILITIES OF THE </w:t>
      </w:r>
      <w:r w:rsidR="002E639E" w:rsidRPr="0076781A">
        <w:rPr>
          <w:b/>
          <w:lang w:val="en-CA"/>
        </w:rPr>
        <w:t>RECIPIENT</w:t>
      </w:r>
    </w:p>
    <w:p w14:paraId="13274103" w14:textId="77777777" w:rsidR="00E07D18" w:rsidRPr="0076781A" w:rsidRDefault="00D20641" w:rsidP="00977AF7">
      <w:pPr>
        <w:spacing w:line="360" w:lineRule="auto"/>
        <w:ind w:left="-567" w:right="-567"/>
        <w:jc w:val="both"/>
        <w:rPr>
          <w:lang w:val="en-CA"/>
        </w:rPr>
      </w:pPr>
      <w:r w:rsidRPr="0076781A">
        <w:rPr>
          <w:lang w:val="en-CA"/>
        </w:rPr>
        <w:t xml:space="preserve">The recipient must abide to the agreement made with the provider. Even if a co-authorship is not agreed, acknowledgement to the provider should be made in every publication </w:t>
      </w:r>
      <w:r w:rsidR="002E639E" w:rsidRPr="0076781A">
        <w:rPr>
          <w:lang w:val="en-CA"/>
        </w:rPr>
        <w:t>that benefits</w:t>
      </w:r>
      <w:r w:rsidRPr="0076781A">
        <w:rPr>
          <w:lang w:val="en-CA"/>
        </w:rPr>
        <w:t xml:space="preserve"> from the </w:t>
      </w:r>
      <w:r w:rsidR="009941F7" w:rsidRPr="0076781A">
        <w:rPr>
          <w:lang w:val="en-CA"/>
        </w:rPr>
        <w:t>cooperation</w:t>
      </w:r>
      <w:r w:rsidR="00CA3D6E" w:rsidRPr="0076781A">
        <w:rPr>
          <w:lang w:val="en-CA"/>
        </w:rPr>
        <w:t>, unless clearly stated otherwise by the provider</w:t>
      </w:r>
      <w:r w:rsidRPr="0076781A">
        <w:rPr>
          <w:lang w:val="en-CA"/>
        </w:rPr>
        <w:t xml:space="preserve">. </w:t>
      </w:r>
    </w:p>
    <w:p w14:paraId="63F5BDB8" w14:textId="77777777" w:rsidR="00D20641" w:rsidRPr="0076781A" w:rsidRDefault="00D20641" w:rsidP="00977AF7">
      <w:pPr>
        <w:spacing w:line="360" w:lineRule="auto"/>
        <w:ind w:left="-567" w:right="-567"/>
        <w:jc w:val="both"/>
        <w:rPr>
          <w:lang w:val="en-CA"/>
        </w:rPr>
      </w:pPr>
      <w:r w:rsidRPr="0076781A">
        <w:rPr>
          <w:lang w:val="en-CA"/>
        </w:rPr>
        <w:t xml:space="preserve">The </w:t>
      </w:r>
      <w:r w:rsidR="00CA3D6E" w:rsidRPr="0076781A">
        <w:rPr>
          <w:lang w:val="en-CA"/>
        </w:rPr>
        <w:t xml:space="preserve">recipient must also acknowledge </w:t>
      </w:r>
      <w:r w:rsidR="009941F7" w:rsidRPr="0076781A">
        <w:rPr>
          <w:lang w:val="en-CA"/>
        </w:rPr>
        <w:t>FoodComEx for making</w:t>
      </w:r>
      <w:r w:rsidRPr="0076781A">
        <w:rPr>
          <w:lang w:val="en-CA"/>
        </w:rPr>
        <w:t xml:space="preserve"> the cooperation possible.</w:t>
      </w:r>
    </w:p>
    <w:sectPr w:rsidR="00D20641" w:rsidRPr="00767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61B8B" w14:textId="77777777" w:rsidR="00ED3399" w:rsidRDefault="00ED3399" w:rsidP="001760B5">
      <w:pPr>
        <w:spacing w:after="0" w:line="240" w:lineRule="auto"/>
      </w:pPr>
      <w:r>
        <w:separator/>
      </w:r>
    </w:p>
  </w:endnote>
  <w:endnote w:type="continuationSeparator" w:id="0">
    <w:p w14:paraId="072C474D" w14:textId="77777777" w:rsidR="00ED3399" w:rsidRDefault="00ED3399" w:rsidP="0017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C2D6F" w14:textId="77777777" w:rsidR="00ED3399" w:rsidRDefault="00ED3399" w:rsidP="001760B5">
      <w:pPr>
        <w:spacing w:after="0" w:line="240" w:lineRule="auto"/>
      </w:pPr>
      <w:r>
        <w:separator/>
      </w:r>
    </w:p>
  </w:footnote>
  <w:footnote w:type="continuationSeparator" w:id="0">
    <w:p w14:paraId="4605E59E" w14:textId="77777777" w:rsidR="00ED3399" w:rsidRDefault="00ED3399" w:rsidP="00176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3185F"/>
    <w:multiLevelType w:val="hybridMultilevel"/>
    <w:tmpl w:val="68641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4226A"/>
    <w:multiLevelType w:val="hybridMultilevel"/>
    <w:tmpl w:val="DEF4C59C"/>
    <w:lvl w:ilvl="0" w:tplc="31D408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8092E"/>
    <w:multiLevelType w:val="hybridMultilevel"/>
    <w:tmpl w:val="C4F44550"/>
    <w:lvl w:ilvl="0" w:tplc="31D408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6C"/>
    <w:rsid w:val="000850F0"/>
    <w:rsid w:val="000C01F0"/>
    <w:rsid w:val="000C4B53"/>
    <w:rsid w:val="001760B5"/>
    <w:rsid w:val="002B4D26"/>
    <w:rsid w:val="002E639E"/>
    <w:rsid w:val="002E7F16"/>
    <w:rsid w:val="00350B6C"/>
    <w:rsid w:val="00385DBC"/>
    <w:rsid w:val="00465FDC"/>
    <w:rsid w:val="004F2297"/>
    <w:rsid w:val="00550343"/>
    <w:rsid w:val="005754BE"/>
    <w:rsid w:val="006774F8"/>
    <w:rsid w:val="00765FA3"/>
    <w:rsid w:val="0076781A"/>
    <w:rsid w:val="00880DC8"/>
    <w:rsid w:val="008B7CB9"/>
    <w:rsid w:val="008E2A72"/>
    <w:rsid w:val="00977AF7"/>
    <w:rsid w:val="009941F7"/>
    <w:rsid w:val="00A24A03"/>
    <w:rsid w:val="00BF1127"/>
    <w:rsid w:val="00CA3D6E"/>
    <w:rsid w:val="00D20641"/>
    <w:rsid w:val="00DF17F4"/>
    <w:rsid w:val="00E07D18"/>
    <w:rsid w:val="00E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9A8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B6C"/>
    <w:pPr>
      <w:spacing w:after="200" w:line="276" w:lineRule="auto"/>
      <w:ind w:left="720"/>
      <w:contextualSpacing/>
    </w:pPr>
    <w:rPr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35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0B6C"/>
    <w:pPr>
      <w:spacing w:after="200" w:line="240" w:lineRule="auto"/>
    </w:pPr>
    <w:rPr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B6C"/>
    <w:rPr>
      <w:sz w:val="20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6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0B5"/>
  </w:style>
  <w:style w:type="paragraph" w:styleId="Footer">
    <w:name w:val="footer"/>
    <w:basedOn w:val="Normal"/>
    <w:link w:val="FooterChar"/>
    <w:uiPriority w:val="99"/>
    <w:unhideWhenUsed/>
    <w:rsid w:val="00176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0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B6C"/>
    <w:pPr>
      <w:spacing w:after="200" w:line="276" w:lineRule="auto"/>
      <w:ind w:left="720"/>
      <w:contextualSpacing/>
    </w:pPr>
    <w:rPr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35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0B6C"/>
    <w:pPr>
      <w:spacing w:after="200" w:line="240" w:lineRule="auto"/>
    </w:pPr>
    <w:rPr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B6C"/>
    <w:rPr>
      <w:sz w:val="20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6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0B5"/>
  </w:style>
  <w:style w:type="paragraph" w:styleId="Footer">
    <w:name w:val="footer"/>
    <w:basedOn w:val="Normal"/>
    <w:link w:val="FooterChar"/>
    <w:uiPriority w:val="99"/>
    <w:unhideWhenUsed/>
    <w:rsid w:val="00176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B37EA-53CB-3542-B322-E3287830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776</Words>
  <Characters>4429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jfiamoncini</dc:creator>
  <cp:keywords/>
  <dc:description/>
  <cp:lastModifiedBy>Allison Pon</cp:lastModifiedBy>
  <cp:revision>3</cp:revision>
  <dcterms:created xsi:type="dcterms:W3CDTF">2016-11-28T21:39:00Z</dcterms:created>
  <dcterms:modified xsi:type="dcterms:W3CDTF">2016-11-28T21:55:00Z</dcterms:modified>
</cp:coreProperties>
</file>